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15EB" w:rsidRPr="006315EB" w:rsidRDefault="006315EB" w:rsidP="006315EB">
      <w:pPr>
        <w:rPr>
          <w:rFonts w:cstheme="minorHAnsi"/>
          <w:b/>
          <w:bCs/>
        </w:rPr>
      </w:pPr>
      <w:r w:rsidRPr="006315EB">
        <w:rPr>
          <w:rFonts w:cstheme="minorHAnsi"/>
          <w:b/>
          <w:bCs/>
        </w:rPr>
        <w:t>Цель</w:t>
      </w:r>
    </w:p>
    <w:p w:rsidR="006315EB" w:rsidRPr="006315EB" w:rsidRDefault="006315EB" w:rsidP="006315EB">
      <w:pPr>
        <w:rPr>
          <w:rFonts w:cstheme="minorHAnsi"/>
          <w:sz w:val="20"/>
          <w:szCs w:val="20"/>
        </w:rPr>
      </w:pPr>
      <w:r w:rsidRPr="006315EB">
        <w:rPr>
          <w:rFonts w:cstheme="minorHAnsi"/>
          <w:sz w:val="20"/>
          <w:szCs w:val="20"/>
        </w:rPr>
        <w:t>Изучить влияние розувастатина на системное воспаление, эндотелиальную дисфункцию и клиническое течение ХОБЛ.</w:t>
      </w:r>
    </w:p>
    <w:p w:rsidR="006315EB" w:rsidRPr="006315EB" w:rsidRDefault="006315EB" w:rsidP="006315EB">
      <w:pPr>
        <w:rPr>
          <w:rFonts w:cstheme="minorHAnsi"/>
          <w:b/>
          <w:bCs/>
        </w:rPr>
      </w:pPr>
      <w:r w:rsidRPr="006315EB">
        <w:rPr>
          <w:rFonts w:cstheme="minorHAnsi"/>
          <w:b/>
          <w:bCs/>
        </w:rPr>
        <w:t>Материал и методы</w:t>
      </w:r>
    </w:p>
    <w:p w:rsidR="006315EB" w:rsidRPr="006315EB" w:rsidRDefault="006315EB" w:rsidP="006315EB">
      <w:pPr>
        <w:rPr>
          <w:rFonts w:cstheme="minorHAnsi"/>
          <w:sz w:val="20"/>
          <w:szCs w:val="20"/>
        </w:rPr>
      </w:pPr>
      <w:r w:rsidRPr="006315EB">
        <w:rPr>
          <w:rFonts w:cstheme="minorHAnsi"/>
          <w:sz w:val="20"/>
          <w:szCs w:val="20"/>
        </w:rPr>
        <w:t>Обследовано 110 больных хронической обструктивной болезнью легких (ХОБЛ) без сердечно-сосудистых событий в анамнезе. Согласно шкале SCORE (Systematic Coronary Risk Estimation) пациенты имели высокий или очень высокий сердечно-сосудистый (СС) риск: 10,0 [8,0; 18,0]. Для коррекции СС риска 90 больным ХОБЛ был назначен розувастатин (10 мг) с титрацией дозы до достижения целевых значений холестерин липопротеинов низкой плотности (ХС-ЛПНП) согласно рассчитанному СС риску в течение 1 года. Контрольную группу составили 20 пациентов ХОБЛ. Оценивали уровень высокочувствительного С-реактивного белка (вч-СРБ), воспалительных (фактор некроза опухолей (ФНО) -a, интерлейкин-8 (ИЛ-8)) и противовоспалительных цитокинов (ИЛ-4, ИЛ10) в сыворотке крови,  сосудистую молекулу адгезии первого типа (VCAM-1).</w:t>
      </w:r>
    </w:p>
    <w:p w:rsidR="006315EB" w:rsidRPr="006315EB" w:rsidRDefault="006315EB" w:rsidP="006315EB">
      <w:pPr>
        <w:rPr>
          <w:rFonts w:cstheme="minorHAnsi"/>
        </w:rPr>
      </w:pPr>
      <w:r w:rsidRPr="006315EB">
        <w:rPr>
          <w:rFonts w:cstheme="minorHAnsi"/>
        </w:rPr>
        <w:t>Клиническое течение ХОБЛ изучали по количеству обострений ХОБЛ, опроснику госпиталя Святого Георгия. Толерантность к физической нагрузке определяли с помощью теста 6 минутной ходьбы.</w:t>
      </w:r>
    </w:p>
    <w:p w:rsidR="006315EB" w:rsidRPr="006315EB" w:rsidRDefault="006315EB" w:rsidP="006315EB">
      <w:pPr>
        <w:rPr>
          <w:rFonts w:cstheme="minorHAnsi"/>
          <w:b/>
          <w:bCs/>
        </w:rPr>
      </w:pPr>
      <w:r w:rsidRPr="006315EB">
        <w:rPr>
          <w:rFonts w:cstheme="minorHAnsi"/>
          <w:b/>
          <w:bCs/>
        </w:rPr>
        <w:t>Основные результаты</w:t>
      </w:r>
    </w:p>
    <w:p w:rsidR="006315EB" w:rsidRPr="006315EB" w:rsidRDefault="006315EB" w:rsidP="006315EB">
      <w:pPr>
        <w:rPr>
          <w:rFonts w:cstheme="minorHAnsi"/>
          <w:sz w:val="20"/>
          <w:szCs w:val="20"/>
        </w:rPr>
      </w:pPr>
      <w:r w:rsidRPr="006315EB">
        <w:rPr>
          <w:rFonts w:cstheme="minorHAnsi"/>
          <w:sz w:val="20"/>
          <w:szCs w:val="20"/>
        </w:rPr>
        <w:t xml:space="preserve">В результате терапии розувастатином отмечено достоверное снижение уровня вч-СРБ (21,5 %, </w:t>
      </w:r>
      <w:r w:rsidRPr="006315EB">
        <w:rPr>
          <w:rFonts w:cstheme="minorHAnsi"/>
          <w:sz w:val="20"/>
          <w:szCs w:val="20"/>
          <w:lang w:val="en-US"/>
        </w:rPr>
        <w:t>p</w:t>
      </w:r>
      <w:r w:rsidRPr="006315EB">
        <w:rPr>
          <w:rFonts w:cstheme="minorHAnsi"/>
          <w:sz w:val="20"/>
          <w:szCs w:val="20"/>
        </w:rPr>
        <w:t xml:space="preserve">=0,001),  ФНО-a (26,7 %; </w:t>
      </w:r>
      <w:r w:rsidRPr="006315EB">
        <w:rPr>
          <w:rFonts w:cstheme="minorHAnsi"/>
          <w:sz w:val="20"/>
          <w:szCs w:val="20"/>
          <w:lang w:val="en-US"/>
        </w:rPr>
        <w:t>p</w:t>
      </w:r>
      <w:r w:rsidRPr="006315EB">
        <w:rPr>
          <w:rFonts w:cstheme="minorHAnsi"/>
          <w:sz w:val="20"/>
          <w:szCs w:val="20"/>
        </w:rPr>
        <w:t xml:space="preserve">=0,001), ИЛ-8 (32,6 %; </w:t>
      </w:r>
      <w:r w:rsidRPr="006315EB">
        <w:rPr>
          <w:rFonts w:cstheme="minorHAnsi"/>
          <w:sz w:val="20"/>
          <w:szCs w:val="20"/>
          <w:lang w:val="en-US"/>
        </w:rPr>
        <w:t>p</w:t>
      </w:r>
      <w:r w:rsidRPr="006315EB">
        <w:rPr>
          <w:rFonts w:cstheme="minorHAnsi"/>
          <w:sz w:val="20"/>
          <w:szCs w:val="20"/>
        </w:rPr>
        <w:t xml:space="preserve">=0,001), ИЛ-4 (15,4 %; </w:t>
      </w:r>
      <w:r w:rsidRPr="006315EB">
        <w:rPr>
          <w:rFonts w:cstheme="minorHAnsi"/>
          <w:sz w:val="20"/>
          <w:szCs w:val="20"/>
          <w:lang w:val="en-US"/>
        </w:rPr>
        <w:t>p</w:t>
      </w:r>
      <w:r w:rsidRPr="006315EB">
        <w:rPr>
          <w:rFonts w:cstheme="minorHAnsi"/>
          <w:sz w:val="20"/>
          <w:szCs w:val="20"/>
        </w:rPr>
        <w:t xml:space="preserve">=0,001), ИЛ-10 (16,5 %; </w:t>
      </w:r>
      <w:r w:rsidRPr="006315EB">
        <w:rPr>
          <w:rFonts w:cstheme="minorHAnsi"/>
          <w:sz w:val="20"/>
          <w:szCs w:val="20"/>
          <w:lang w:val="en-US"/>
        </w:rPr>
        <w:t>p</w:t>
      </w:r>
      <w:r w:rsidRPr="006315EB">
        <w:rPr>
          <w:rFonts w:cstheme="minorHAnsi"/>
          <w:sz w:val="20"/>
          <w:szCs w:val="20"/>
        </w:rPr>
        <w:t xml:space="preserve">=0,001), VCAM-1 (28,9 %, </w:t>
      </w:r>
      <w:r w:rsidRPr="006315EB">
        <w:rPr>
          <w:rFonts w:cstheme="minorHAnsi"/>
          <w:sz w:val="20"/>
          <w:szCs w:val="20"/>
          <w:lang w:val="en-US"/>
        </w:rPr>
        <w:t>p</w:t>
      </w:r>
      <w:r w:rsidRPr="006315EB">
        <w:rPr>
          <w:rFonts w:cstheme="minorHAnsi"/>
          <w:sz w:val="20"/>
          <w:szCs w:val="20"/>
        </w:rPr>
        <w:t xml:space="preserve">=0,003); количества обострений ХОБЛ (25 %, </w:t>
      </w:r>
      <w:r w:rsidRPr="006315EB">
        <w:rPr>
          <w:rFonts w:cstheme="minorHAnsi"/>
          <w:sz w:val="20"/>
          <w:szCs w:val="20"/>
          <w:lang w:val="en-US"/>
        </w:rPr>
        <w:t>p</w:t>
      </w:r>
      <w:r w:rsidRPr="006315EB">
        <w:rPr>
          <w:rFonts w:cstheme="minorHAnsi"/>
          <w:sz w:val="20"/>
          <w:szCs w:val="20"/>
        </w:rPr>
        <w:t xml:space="preserve">&lt;0,001), выраженности симптомов ХОБЛ по опроснику госпиталя Святого Георгия (19,9 %, </w:t>
      </w:r>
      <w:r w:rsidRPr="006315EB">
        <w:rPr>
          <w:rFonts w:cstheme="minorHAnsi"/>
          <w:sz w:val="20"/>
          <w:szCs w:val="20"/>
          <w:lang w:val="en-US"/>
        </w:rPr>
        <w:t>p</w:t>
      </w:r>
      <w:r w:rsidRPr="006315EB">
        <w:rPr>
          <w:rFonts w:cstheme="minorHAnsi"/>
          <w:sz w:val="20"/>
          <w:szCs w:val="20"/>
        </w:rPr>
        <w:t xml:space="preserve">&lt;0,001). Увеличилась толерантность к физической нагрузке (13,2 %, </w:t>
      </w:r>
      <w:proofErr w:type="gramStart"/>
      <w:r w:rsidRPr="006315EB">
        <w:rPr>
          <w:rFonts w:cstheme="minorHAnsi"/>
          <w:sz w:val="20"/>
          <w:szCs w:val="20"/>
          <w:lang w:val="en-US"/>
        </w:rPr>
        <w:t>p</w:t>
      </w:r>
      <w:r w:rsidRPr="006315EB">
        <w:rPr>
          <w:rFonts w:cstheme="minorHAnsi"/>
          <w:sz w:val="20"/>
          <w:szCs w:val="20"/>
        </w:rPr>
        <w:t>&lt;</w:t>
      </w:r>
      <w:proofErr w:type="gramEnd"/>
      <w:r w:rsidRPr="006315EB">
        <w:rPr>
          <w:rFonts w:cstheme="minorHAnsi"/>
          <w:sz w:val="20"/>
          <w:szCs w:val="20"/>
        </w:rPr>
        <w:t xml:space="preserve">0,001). В контрольной группе увеличился ФНО-a (19,3 %; </w:t>
      </w:r>
      <w:r w:rsidRPr="006315EB">
        <w:rPr>
          <w:rFonts w:cstheme="minorHAnsi"/>
          <w:sz w:val="20"/>
          <w:szCs w:val="20"/>
          <w:lang w:val="en-US"/>
        </w:rPr>
        <w:t>p</w:t>
      </w:r>
      <w:r w:rsidRPr="006315EB">
        <w:rPr>
          <w:rFonts w:cstheme="minorHAnsi"/>
          <w:sz w:val="20"/>
          <w:szCs w:val="20"/>
        </w:rPr>
        <w:t xml:space="preserve">=0,001) и ИЛ-4 (30 %; </w:t>
      </w:r>
      <w:r w:rsidRPr="006315EB">
        <w:rPr>
          <w:rFonts w:cstheme="minorHAnsi"/>
          <w:sz w:val="20"/>
          <w:szCs w:val="20"/>
          <w:lang w:val="en-US"/>
        </w:rPr>
        <w:t>p</w:t>
      </w:r>
      <w:r w:rsidRPr="006315EB">
        <w:rPr>
          <w:rFonts w:cstheme="minorHAnsi"/>
          <w:sz w:val="20"/>
          <w:szCs w:val="20"/>
        </w:rPr>
        <w:t>=0,001), наблюдалось уменьшение пройденной дистанции на 5 % (19 метров; p=0,001) в тесте 6 минутной ходьбы.</w:t>
      </w:r>
    </w:p>
    <w:p w:rsidR="006315EB" w:rsidRPr="006315EB" w:rsidRDefault="006315EB" w:rsidP="006315EB">
      <w:pPr>
        <w:rPr>
          <w:rFonts w:cstheme="minorHAnsi"/>
          <w:b/>
          <w:bCs/>
        </w:rPr>
      </w:pPr>
      <w:r w:rsidRPr="006315EB">
        <w:rPr>
          <w:rFonts w:cstheme="minorHAnsi"/>
          <w:b/>
          <w:bCs/>
        </w:rPr>
        <w:t>Заключение</w:t>
      </w:r>
    </w:p>
    <w:p w:rsidR="006315EB" w:rsidRPr="006315EB" w:rsidRDefault="006315EB" w:rsidP="006315EB">
      <w:pPr>
        <w:rPr>
          <w:rFonts w:cstheme="minorHAnsi"/>
          <w:sz w:val="20"/>
          <w:szCs w:val="20"/>
        </w:rPr>
      </w:pPr>
      <w:r w:rsidRPr="006315EB">
        <w:rPr>
          <w:rFonts w:cstheme="minorHAnsi"/>
          <w:sz w:val="20"/>
          <w:szCs w:val="20"/>
        </w:rPr>
        <w:t>Розувастатин у больных ХОБЛ обладает противовоспалительным, эндотелийпротективным,  иммуномодулирующими эффектами, влияет на ключевые системные процессы развития ХОБЛ и сердечно-сосудистых заболеваний, способен модифицировать клиническое течение ХОБЛ (снижение количества обострений, уменьшение выраженности симптомов, улучшение толерантности к физической нагрузке). Все больным ХОБЛ рекомендуется проводить расчет СС риска и его коррекцию согласно общепринятым рекомендациям.</w:t>
      </w:r>
    </w:p>
    <w:p w:rsidR="006315EB" w:rsidRPr="006315EB" w:rsidRDefault="006315EB" w:rsidP="006315EB">
      <w:pPr>
        <w:rPr>
          <w:rFonts w:cstheme="minorHAnsi"/>
          <w:b/>
          <w:bCs/>
        </w:rPr>
      </w:pPr>
      <w:bookmarkStart w:id="0" w:name="_GoBack"/>
      <w:r w:rsidRPr="006315EB">
        <w:rPr>
          <w:rFonts w:cstheme="minorHAnsi"/>
          <w:b/>
          <w:bCs/>
        </w:rPr>
        <w:t>Ключевые слова</w:t>
      </w:r>
    </w:p>
    <w:bookmarkEnd w:id="0"/>
    <w:p w:rsidR="006315EB" w:rsidRPr="006315EB" w:rsidRDefault="006315EB" w:rsidP="006315EB">
      <w:pPr>
        <w:rPr>
          <w:rFonts w:cstheme="minorHAnsi"/>
          <w:sz w:val="20"/>
          <w:szCs w:val="20"/>
        </w:rPr>
      </w:pPr>
      <w:r w:rsidRPr="006315EB">
        <w:rPr>
          <w:rFonts w:cstheme="minorHAnsi"/>
          <w:sz w:val="20"/>
          <w:szCs w:val="20"/>
        </w:rPr>
        <w:t>Розувастатин, статины, хроническая обструктивная болезнь легких, системное воспаление.</w:t>
      </w:r>
    </w:p>
    <w:p w:rsidR="00726DBA" w:rsidRPr="006315EB" w:rsidRDefault="00726DBA" w:rsidP="006315EB">
      <w:pPr>
        <w:rPr>
          <w:rFonts w:cstheme="minorHAnsi"/>
        </w:rPr>
      </w:pPr>
    </w:p>
    <w:sectPr w:rsidR="00726DBA" w:rsidRPr="006315EB" w:rsidSect="00815A3A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INPro-Bold">
    <w:panose1 w:val="020B0804020101020102"/>
    <w:charset w:val="00"/>
    <w:family w:val="swiss"/>
    <w:notTrueType/>
    <w:pitch w:val="variable"/>
    <w:sig w:usb0="A00002BF" w:usb1="4000207B" w:usb2="00000000" w:usb3="00000000" w:csb0="0000009F" w:csb1="00000000"/>
  </w:font>
  <w:font w:name="DINPro-MediumItalic">
    <w:panose1 w:val="020B0604020101020102"/>
    <w:charset w:val="00"/>
    <w:family w:val="swiss"/>
    <w:notTrueType/>
    <w:pitch w:val="variable"/>
    <w:sig w:usb0="A00002BF" w:usb1="4000207B" w:usb2="00000000" w:usb3="00000000" w:csb0="00000097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732"/>
    <w:rsid w:val="00166EF2"/>
    <w:rsid w:val="006315EB"/>
    <w:rsid w:val="00726DBA"/>
    <w:rsid w:val="00DC2732"/>
    <w:rsid w:val="00E42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0B1303"/>
  <w15:chartTrackingRefBased/>
  <w15:docId w15:val="{D2497F9C-DEF5-4778-8A6B-E3709A9DD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adHead">
    <w:name w:val="Lead Head (СТАРТ)"/>
    <w:basedOn w:val="a"/>
    <w:next w:val="LeadText"/>
    <w:uiPriority w:val="99"/>
    <w:rsid w:val="00DC2732"/>
    <w:pPr>
      <w:keepNext/>
      <w:shd w:val="clear" w:color="auto" w:fill="000000"/>
      <w:suppressAutoHyphens/>
      <w:autoSpaceDE w:val="0"/>
      <w:autoSpaceDN w:val="0"/>
      <w:adjustRightInd w:val="0"/>
      <w:spacing w:before="113" w:after="0" w:line="280" w:lineRule="atLeast"/>
      <w:ind w:left="113" w:right="113"/>
      <w:textAlignment w:val="center"/>
    </w:pPr>
    <w:rPr>
      <w:rFonts w:ascii="DINPro-Bold" w:hAnsi="DINPro-Bold" w:cs="DINPro-Bold"/>
      <w:b/>
      <w:bCs/>
      <w:color w:val="000000"/>
      <w:spacing w:val="2"/>
      <w:sz w:val="24"/>
      <w:szCs w:val="24"/>
    </w:rPr>
  </w:style>
  <w:style w:type="paragraph" w:customStyle="1" w:styleId="LeadText">
    <w:name w:val="LeadText (СТАРТ)"/>
    <w:basedOn w:val="a"/>
    <w:next w:val="LeadHead"/>
    <w:uiPriority w:val="99"/>
    <w:rsid w:val="00DC2732"/>
    <w:pPr>
      <w:shd w:val="clear" w:color="auto" w:fill="000000"/>
      <w:autoSpaceDE w:val="0"/>
      <w:autoSpaceDN w:val="0"/>
      <w:adjustRightInd w:val="0"/>
      <w:spacing w:after="0" w:line="280" w:lineRule="atLeast"/>
      <w:ind w:left="113" w:right="113"/>
      <w:jc w:val="both"/>
      <w:textAlignment w:val="center"/>
    </w:pPr>
    <w:rPr>
      <w:rFonts w:ascii="DINPro-MediumItalic" w:hAnsi="DINPro-MediumItalic" w:cs="DINPro-MediumItalic"/>
      <w:i/>
      <w:iCs/>
      <w:color w:val="000000"/>
      <w:sz w:val="20"/>
      <w:szCs w:val="20"/>
    </w:rPr>
  </w:style>
  <w:style w:type="character" w:customStyle="1" w:styleId="Bold">
    <w:name w:val="Bold"/>
    <w:uiPriority w:val="99"/>
    <w:rsid w:val="00DC2732"/>
    <w:rPr>
      <w:b/>
      <w:bCs/>
      <w:u w:val="none"/>
      <w:vertAlign w:val="baseline"/>
    </w:rPr>
  </w:style>
  <w:style w:type="paragraph" w:styleId="a3">
    <w:name w:val="No Spacing"/>
    <w:uiPriority w:val="1"/>
    <w:qFormat/>
    <w:rsid w:val="00166EF2"/>
    <w:pPr>
      <w:spacing w:after="0" w:line="240" w:lineRule="auto"/>
    </w:pPr>
  </w:style>
  <w:style w:type="character" w:customStyle="1" w:styleId="Symbol">
    <w:name w:val="Symbol"/>
    <w:uiPriority w:val="99"/>
    <w:rsid w:val="006315EB"/>
    <w:rPr>
      <w:rFonts w:ascii="Symbol" w:hAnsi="Symbol" w:cs="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346</Words>
  <Characters>1977</Characters>
  <Application>Microsoft Office Word</Application>
  <DocSecurity>0</DocSecurity>
  <Lines>16</Lines>
  <Paragraphs>4</Paragraphs>
  <ScaleCrop>false</ScaleCrop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2020-02-17T17:58:00Z</dcterms:created>
  <dcterms:modified xsi:type="dcterms:W3CDTF">2020-02-17T17:58:00Z</dcterms:modified>
</cp:coreProperties>
</file>